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E0CAF">
      <w:pPr>
        <w:jc w:val="right"/>
        <w:rPr>
          <w:color w:val="0F1419"/>
          <w:sz w:val="24"/>
          <w:szCs w:val="24"/>
        </w:rPr>
      </w:pPr>
      <w:r>
        <w:rPr>
          <w:color w:val="0F1419"/>
          <w:sz w:val="24"/>
          <w:szCs w:val="24"/>
        </w:rPr>
        <w:t>Приложение 1</w:t>
      </w:r>
    </w:p>
    <w:p w14:paraId="33598FC9">
      <w:pPr>
        <w:jc w:val="right"/>
        <w:rPr>
          <w:color w:val="000000"/>
          <w:spacing w:val="-4"/>
          <w:sz w:val="24"/>
          <w:szCs w:val="24"/>
        </w:rPr>
      </w:pPr>
      <w:r>
        <w:rPr>
          <w:color w:val="0F1419"/>
          <w:sz w:val="24"/>
          <w:szCs w:val="24"/>
        </w:rPr>
        <w:t xml:space="preserve">к Положению о </w:t>
      </w:r>
      <w:r>
        <w:rPr>
          <w:color w:val="000000"/>
          <w:spacing w:val="-4"/>
          <w:sz w:val="24"/>
          <w:szCs w:val="24"/>
        </w:rPr>
        <w:t xml:space="preserve">Всероссийском смотре-конкурсе </w:t>
      </w:r>
    </w:p>
    <w:p w14:paraId="0DEDCF64">
      <w:pPr>
        <w:jc w:val="right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на звание «Лучший дом (центр) </w:t>
      </w:r>
      <w:r>
        <w:rPr>
          <w:color w:val="000000"/>
          <w:spacing w:val="-9"/>
          <w:sz w:val="24"/>
          <w:szCs w:val="24"/>
        </w:rPr>
        <w:t xml:space="preserve">народного творчества </w:t>
      </w:r>
    </w:p>
    <w:p w14:paraId="7739D9BC">
      <w:pPr>
        <w:jc w:val="right"/>
        <w:rPr>
          <w:color w:val="0F141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Российской Федерации</w:t>
      </w:r>
      <w:r>
        <w:rPr>
          <w:color w:val="000000"/>
          <w:spacing w:val="-4"/>
          <w:sz w:val="24"/>
          <w:szCs w:val="24"/>
        </w:rPr>
        <w:t xml:space="preserve"> 2025 года»</w:t>
      </w:r>
    </w:p>
    <w:p w14:paraId="0162FA29">
      <w:pPr>
        <w:spacing w:line="276" w:lineRule="auto"/>
        <w:jc w:val="center"/>
        <w:rPr>
          <w:b/>
          <w:bCs/>
          <w:color w:val="0F1419"/>
          <w:sz w:val="24"/>
          <w:szCs w:val="24"/>
        </w:rPr>
      </w:pPr>
    </w:p>
    <w:p w14:paraId="4D23A9EC">
      <w:pPr>
        <w:spacing w:line="276" w:lineRule="auto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bCs/>
          <w:color w:val="0F1419"/>
          <w:sz w:val="24"/>
          <w:szCs w:val="24"/>
        </w:rPr>
        <w:t xml:space="preserve">Форма анкеты на участие во </w:t>
      </w:r>
      <w:r>
        <w:rPr>
          <w:b/>
          <w:color w:val="000000"/>
          <w:spacing w:val="-4"/>
          <w:sz w:val="24"/>
          <w:szCs w:val="24"/>
        </w:rPr>
        <w:t>Всероссийском смотре-конкурсе</w:t>
      </w:r>
    </w:p>
    <w:p w14:paraId="6C3A90F5">
      <w:pPr>
        <w:spacing w:line="276" w:lineRule="auto"/>
        <w:jc w:val="center"/>
        <w:rPr>
          <w:b/>
          <w:color w:val="000000"/>
          <w:spacing w:val="-9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на звание «Лучший дом (центр) </w:t>
      </w:r>
      <w:r>
        <w:rPr>
          <w:b/>
          <w:color w:val="000000"/>
          <w:spacing w:val="-9"/>
          <w:sz w:val="24"/>
          <w:szCs w:val="24"/>
        </w:rPr>
        <w:t>народного творчества</w:t>
      </w:r>
    </w:p>
    <w:p w14:paraId="1DD80496">
      <w:pPr>
        <w:spacing w:line="276" w:lineRule="auto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Российской Федерации</w:t>
      </w:r>
      <w:r>
        <w:rPr>
          <w:b/>
          <w:color w:val="000000"/>
          <w:spacing w:val="-4"/>
          <w:sz w:val="24"/>
          <w:szCs w:val="24"/>
        </w:rPr>
        <w:t xml:space="preserve"> 2025 года»</w:t>
      </w:r>
    </w:p>
    <w:p w14:paraId="0334B275">
      <w:pPr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в номинации </w:t>
      </w: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pacing w:val="-6"/>
          <w:sz w:val="24"/>
          <w:szCs w:val="24"/>
        </w:rPr>
        <w:t>Сохранение и развитие жанров народного творчества, нематериального этнокультурного достояния</w:t>
      </w:r>
      <w:r>
        <w:rPr>
          <w:b/>
          <w:bCs/>
          <w:color w:val="000000"/>
          <w:spacing w:val="-10"/>
          <w:sz w:val="24"/>
          <w:szCs w:val="24"/>
        </w:rPr>
        <w:t>»</w:t>
      </w:r>
    </w:p>
    <w:p w14:paraId="17AEDC51">
      <w:pPr>
        <w:spacing w:line="276" w:lineRule="auto"/>
        <w:jc w:val="center"/>
        <w:rPr>
          <w:color w:val="0F1419"/>
          <w:sz w:val="24"/>
          <w:szCs w:val="24"/>
        </w:rPr>
      </w:pPr>
    </w:p>
    <w:p w14:paraId="2A46D08B">
      <w:pPr>
        <w:spacing w:line="276" w:lineRule="auto"/>
        <w:jc w:val="center"/>
        <w:rPr>
          <w:color w:val="0F1419"/>
          <w:sz w:val="24"/>
          <w:szCs w:val="24"/>
        </w:rPr>
      </w:pPr>
      <w:r>
        <w:rPr>
          <w:color w:val="0F1419"/>
          <w:sz w:val="24"/>
          <w:szCs w:val="24"/>
        </w:rPr>
        <w:t>____________________________________________________________________</w:t>
      </w:r>
    </w:p>
    <w:p w14:paraId="79BB290D">
      <w:pPr>
        <w:spacing w:line="276" w:lineRule="auto"/>
        <w:jc w:val="center"/>
        <w:rPr>
          <w:i/>
          <w:color w:val="0F1419"/>
          <w:sz w:val="24"/>
          <w:szCs w:val="24"/>
        </w:rPr>
      </w:pPr>
      <w:r>
        <w:rPr>
          <w:i/>
          <w:color w:val="0F1419"/>
          <w:sz w:val="24"/>
          <w:szCs w:val="24"/>
        </w:rPr>
        <w:t>(полное наименование регионального Д(Ц)НТ)</w:t>
      </w:r>
    </w:p>
    <w:tbl>
      <w:tblPr>
        <w:tblStyle w:val="3"/>
        <w:tblW w:w="511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4834"/>
        <w:gridCol w:w="5964"/>
        <w:gridCol w:w="1852"/>
        <w:gridCol w:w="1416"/>
      </w:tblGrid>
      <w:tr w14:paraId="77020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22DFA5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№№</w:t>
            </w:r>
          </w:p>
          <w:p w14:paraId="00EA839A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п/п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FC76970">
            <w:pPr>
              <w:spacing w:line="276" w:lineRule="auto"/>
              <w:ind w:left="150" w:right="157"/>
              <w:jc w:val="both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024B3E5">
            <w:pPr>
              <w:spacing w:line="276" w:lineRule="auto"/>
              <w:ind w:left="126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Характеристика деятельности по данному показателю</w:t>
            </w:r>
          </w:p>
          <w:p w14:paraId="7B16450F">
            <w:pPr>
              <w:spacing w:line="276" w:lineRule="auto"/>
              <w:ind w:left="126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0644DBB">
            <w:pPr>
              <w:ind w:left="39" w:firstLine="115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306CD62">
            <w:pPr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Оценка, в баллах</w:t>
            </w:r>
          </w:p>
        </w:tc>
      </w:tr>
      <w:tr w14:paraId="57048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2A0EF5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7C8C88B8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665F221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006BC6D">
            <w:pPr>
              <w:ind w:left="150" w:right="157"/>
              <w:jc w:val="both"/>
              <w:rPr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 xml:space="preserve">Количество проводимых Д(Ц)НТ культурно-массовых мероприятий </w:t>
            </w:r>
            <w:r>
              <w:rPr>
                <w:sz w:val="24"/>
                <w:szCs w:val="24"/>
              </w:rPr>
              <w:t>(суммарно за три года), способствующих сохранению и развитию жанров народного творчества, нематериального этнокультурного достояния:</w:t>
            </w:r>
          </w:p>
          <w:p w14:paraId="1D774C4F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межмуниципального уровня -</w:t>
            </w:r>
            <w:r>
              <w:rPr>
                <w:i/>
                <w:iCs/>
                <w:color w:val="0F1419"/>
                <w:sz w:val="24"/>
                <w:szCs w:val="24"/>
              </w:rPr>
              <w:t xml:space="preserve"> 1 балл за каждое мероприятие,</w:t>
            </w:r>
          </w:p>
          <w:p w14:paraId="04B73AB6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регионального уровня – 2 балла за каждое мероприятие,</w:t>
            </w:r>
          </w:p>
          <w:p w14:paraId="0454083A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межрегионального уровня - 3 балла за каждое мероприятие,</w:t>
            </w:r>
          </w:p>
          <w:p w14:paraId="26CC3DB6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всероссийского уровня - 4 балла за каждое мероприятие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4684224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BE1C72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E561230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</w:tr>
      <w:tr w14:paraId="5FE4BF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C5E323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16A7A356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831EA1E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2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DEF4C80">
            <w:pPr>
              <w:ind w:left="150" w:right="157"/>
              <w:jc w:val="both"/>
              <w:rPr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 xml:space="preserve">Количество культурно-досуговых мероприятий, проводимых Д(Ц)НТ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для социально незащищённых групп населения </w:t>
            </w:r>
            <w:r>
              <w:rPr>
                <w:sz w:val="24"/>
                <w:szCs w:val="24"/>
              </w:rPr>
              <w:t>(суммарно за три года), способствующих сохранению и развитию жанров народного творчества, нематериального этнокультурного достояния:</w:t>
            </w:r>
          </w:p>
          <w:p w14:paraId="1056AEE8">
            <w:pPr>
              <w:ind w:left="150" w:right="15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межмуниципального уровня -</w:t>
            </w:r>
            <w:r>
              <w:rPr>
                <w:i/>
                <w:iCs/>
                <w:sz w:val="24"/>
                <w:szCs w:val="24"/>
              </w:rPr>
              <w:t xml:space="preserve"> 1 балл за каждое мероприятие,</w:t>
            </w:r>
          </w:p>
          <w:p w14:paraId="6880BD0A">
            <w:pPr>
              <w:ind w:left="150" w:right="15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регионального уровня – 2 балла за каждое мероприятие,</w:t>
            </w:r>
          </w:p>
          <w:p w14:paraId="2DE122C4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межрегионального уровня - 3 балла </w:t>
            </w:r>
            <w:r>
              <w:rPr>
                <w:i/>
                <w:color w:val="0F1419"/>
                <w:sz w:val="24"/>
                <w:szCs w:val="24"/>
              </w:rPr>
              <w:t>за каждое мероприятие,</w:t>
            </w:r>
          </w:p>
          <w:p w14:paraId="30FF95E4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всероссийского уровня - 4 балла за каждое мероприятие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82619C1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8B6D75B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9709A86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70FF72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9B18A2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0A0CDA31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2A1B4D63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3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74A2A8">
            <w:pPr>
              <w:ind w:left="150" w:right="157"/>
              <w:jc w:val="both"/>
              <w:rPr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 xml:space="preserve">Охват культурно-досуговыми мероприятиями </w:t>
            </w:r>
            <w:r>
              <w:rPr>
                <w:sz w:val="24"/>
                <w:szCs w:val="24"/>
              </w:rPr>
              <w:t>(суммарно за три года), способствующими сохранению и развитию жанров народного творчества, нематериального этнокультурного достояния, детей до 14 лет, в % от общего числа детей до 14 лет в данном регионе:</w:t>
            </w:r>
          </w:p>
          <w:p w14:paraId="3991031D">
            <w:pPr>
              <w:ind w:left="150" w:right="157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менее 1 % – 0 баллов,</w:t>
            </w:r>
          </w:p>
          <w:p w14:paraId="0B314196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1-5 % – 1 балл,</w:t>
            </w:r>
          </w:p>
          <w:p w14:paraId="7BADC6FE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5-10 % – 2 балла,</w:t>
            </w:r>
          </w:p>
          <w:p w14:paraId="54B8049E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более 10 % - 3 балла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29615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2C2379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FDA9E8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14:paraId="018547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E269A6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12FBD1CF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4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1ACB722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 xml:space="preserve">Количество базовых коллективов </w:t>
            </w:r>
            <w:r>
              <w:rPr>
                <w:sz w:val="24"/>
                <w:szCs w:val="24"/>
              </w:rPr>
              <w:t xml:space="preserve">Д(Ц)НТ </w:t>
            </w:r>
            <w:r>
              <w:rPr>
                <w:color w:val="0F1419"/>
                <w:sz w:val="24"/>
                <w:szCs w:val="24"/>
              </w:rPr>
              <w:t>по жанрам:</w:t>
            </w:r>
          </w:p>
          <w:p w14:paraId="39FA7163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каждое формирование – 1 балл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7DCBB3B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A079F39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7430EA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0C4D8C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FAA20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00FE8AB0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5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AA6AB6A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 xml:space="preserve">Количество базовых коллективов </w:t>
            </w:r>
            <w:r>
              <w:rPr>
                <w:sz w:val="24"/>
                <w:szCs w:val="24"/>
              </w:rPr>
              <w:t xml:space="preserve">Д(Ц)НТ, </w:t>
            </w:r>
            <w:r>
              <w:rPr>
                <w:color w:val="0F1419"/>
                <w:sz w:val="24"/>
                <w:szCs w:val="24"/>
              </w:rPr>
              <w:t xml:space="preserve">имеющих звания на конец отчетного периода: </w:t>
            </w:r>
          </w:p>
          <w:p w14:paraId="401B20BC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«народный коллектив»</w:t>
            </w:r>
            <w:r>
              <w:rPr>
                <w:color w:val="0F141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F1419"/>
                <w:sz w:val="24"/>
                <w:szCs w:val="24"/>
              </w:rPr>
              <w:t>– за каждый коллектив – 1 балл</w:t>
            </w:r>
          </w:p>
          <w:p w14:paraId="6BC398DF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«заслуженный коллектив народного творчества РФ» – за каждый коллектив – 2 балла,</w:t>
            </w:r>
          </w:p>
          <w:p w14:paraId="49CCA0BE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лауреаты Всероссийского фестиваля любительских творческих коллективов в рамках национального проекта «Культура» – за каждый коллектив 2 балла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A3F6B12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DFB6767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BAE0C4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171CB2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23619F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6664D339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6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080FF8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 xml:space="preserve">Количество специалистов Д(Ц)НТ, имеющих звание «народный мастер» на конец отчетного периода - </w:t>
            </w:r>
            <w:r>
              <w:rPr>
                <w:i/>
                <w:iCs/>
                <w:color w:val="0F1419"/>
                <w:sz w:val="24"/>
                <w:szCs w:val="24"/>
              </w:rPr>
              <w:t>за каждого специалиста - 1 балл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15963E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D5A615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F55514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14:paraId="3CD331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02E118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60823207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7DC62E5A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7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ED1D8B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Наличие работников Д(Ц)НТ (основной персонал), повысивших квалификацию в области народного художественного творчества и НЭД (суммарно за 3 года):</w:t>
            </w:r>
          </w:p>
          <w:p w14:paraId="4193383C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 рамках региональных учебных мероприятий - 1 балл,</w:t>
            </w:r>
          </w:p>
          <w:p w14:paraId="47E12E5D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 рамках межрегиональных учебных мероприятий - 2 балла,</w:t>
            </w:r>
          </w:p>
          <w:p w14:paraId="24BC7416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 рамках учебных мероприятий ГРДНТ им. В.Д. Поленова - 3 балла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CBE42B6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A122E56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6887A94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4F7A07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19C66F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0DE374A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57FBD6BE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8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36A0E16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Процент от общего числа работников Д(Ц)НТ специалистов (основной персонал), ежегодно повышающих квалификацию в области народного художественного творчества и НЭД:</w:t>
            </w:r>
          </w:p>
          <w:p w14:paraId="46AB64BE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до 10% - 1 балл,</w:t>
            </w:r>
          </w:p>
          <w:p w14:paraId="3844A584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от 10 до 20% - 2 балла,</w:t>
            </w:r>
          </w:p>
          <w:p w14:paraId="3C8E8049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свыше 20% - 3 балла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1DC475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AAA824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A544F7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14:paraId="741BC1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76610D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375E7EC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4D4F050D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9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81A607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Средняя заполняемость зрительных залов на платных культурно-досуговых мероприятиях, проводимых Д(Ц)НТ:</w:t>
            </w:r>
          </w:p>
          <w:p w14:paraId="67CB405E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более 50 % - 1 балл,</w:t>
            </w:r>
          </w:p>
          <w:p w14:paraId="7B7150A7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боле</w:t>
            </w:r>
            <w:r>
              <w:rPr>
                <w:i/>
                <w:color w:val="0F1419"/>
                <w:sz w:val="24"/>
                <w:szCs w:val="24"/>
              </w:rPr>
              <w:t>е 70% - 2 балла,</w:t>
            </w:r>
          </w:p>
          <w:p w14:paraId="45301632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более 90% - 3 балла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0D05BFF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4662BB1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EA6E7E9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2F9301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E83A08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53073885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57102A92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10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23DFE3B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Внедрение инновационных форм и методов работы с различными категориями населения, в том числе с применением мультимедийных и онлайн технологий:</w:t>
            </w:r>
          </w:p>
          <w:p w14:paraId="3F4ED315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 xml:space="preserve">за каждую инновационную форму </w:t>
            </w:r>
            <w:r>
              <w:rPr>
                <w:i/>
                <w:iCs/>
                <w:color w:val="0F1419"/>
                <w:sz w:val="24"/>
                <w:szCs w:val="24"/>
              </w:rPr>
              <w:t xml:space="preserve">– </w:t>
            </w:r>
            <w:r>
              <w:rPr>
                <w:i/>
                <w:color w:val="0F1419"/>
                <w:sz w:val="24"/>
                <w:szCs w:val="24"/>
              </w:rPr>
              <w:t>1 балл (обязательно описание данной инновации, ссылка на публикацию)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E04A891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3C397A6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9D6E09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</w:tr>
      <w:tr w14:paraId="29A8EC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B20D00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0AA9837B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2425CE4B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11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967C718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Взаимодействие с региональными и муниципальными учреждениями образования, молодёжной политики, социального обеспечения (перечислить учреждения, указать форму взаимодействия)</w:t>
            </w:r>
          </w:p>
          <w:p w14:paraId="7D4DD83B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каждый договор (соглашение) о сотрудничестве – 1 балл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6D3A95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F6D3661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BCBEF53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56C2AF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89217D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098143C6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7D6A0F0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12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FE8D993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Участие Д(Ц)НТ (базовых коллективов) в фестивалях, праздниках, конкурсах, выставках:</w:t>
            </w:r>
          </w:p>
          <w:p w14:paraId="62EFB3B1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 xml:space="preserve">межрегиональных </w:t>
            </w:r>
            <w:r>
              <w:rPr>
                <w:i/>
                <w:iCs/>
                <w:color w:val="0F1419"/>
                <w:sz w:val="24"/>
                <w:szCs w:val="24"/>
              </w:rPr>
              <w:t>–</w:t>
            </w:r>
            <w:r>
              <w:rPr>
                <w:i/>
                <w:color w:val="0F1419"/>
                <w:sz w:val="24"/>
                <w:szCs w:val="24"/>
              </w:rPr>
              <w:t xml:space="preserve"> 1 балл за каждое мероприятие,</w:t>
            </w:r>
          </w:p>
          <w:p w14:paraId="20CD7E98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всероссийских – 2 балла за каждое мероприятие,</w:t>
            </w:r>
          </w:p>
          <w:p w14:paraId="067E5946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 xml:space="preserve">международных </w:t>
            </w:r>
            <w:r>
              <w:rPr>
                <w:i/>
                <w:iCs/>
                <w:color w:val="0F1419"/>
                <w:sz w:val="24"/>
                <w:szCs w:val="24"/>
              </w:rPr>
              <w:t>– 3</w:t>
            </w:r>
            <w:r>
              <w:rPr>
                <w:i/>
                <w:color w:val="0F1419"/>
                <w:sz w:val="24"/>
                <w:szCs w:val="24"/>
              </w:rPr>
              <w:t xml:space="preserve"> балла за каждое мероприятие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83393EB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DBE6EC5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DAC5195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246B3C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C24B2F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09CB0C2A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4D9E62AD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</w:t>
            </w: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3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03C6242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Достижения в работе по изучению, сохранению народной традиционной культуры. Количество объектов НЭД, включенных в:</w:t>
            </w:r>
          </w:p>
          <w:p w14:paraId="37926EE5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региональный каталог объектов НЭД – 3 баллов за каждый объект,</w:t>
            </w:r>
          </w:p>
          <w:p w14:paraId="07B516C5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федеральный каталог объектов НЭД – 5 баллов за каждый объект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937334C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5B7B922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44634FA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32C1FB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039B3B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</w:t>
            </w: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4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266ECDE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Популяризация объектов НЭД. Форматы и методики актуализации объектов НЭД (обязательно описание каждой методики или формата, ссылка на публикацию):</w:t>
            </w:r>
          </w:p>
          <w:p w14:paraId="0199D09A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каждую методику или формат – 1 балл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4E45028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E3C874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E8DD8C6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5F2D72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CF84A2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72202D44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</w:t>
            </w: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5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775718D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 xml:space="preserve">Наличие у Д(Ц)НТ и его специалистов дипломов, благодарностей, почетных грамот федеральных органов управления сферой культуры за достижения в развитии народного творчества и НЭД – </w:t>
            </w:r>
            <w:r>
              <w:rPr>
                <w:i/>
                <w:iCs/>
                <w:color w:val="0F1419"/>
                <w:sz w:val="24"/>
                <w:szCs w:val="24"/>
              </w:rPr>
              <w:t>за каждое наименование по 1 баллу</w:t>
            </w: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 w14:paraId="4F922522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 w14:paraId="34A76D4F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 w14:paraId="16192F04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016AF2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91BEEE">
            <w:pPr>
              <w:spacing w:line="276" w:lineRule="auto"/>
              <w:ind w:left="150" w:right="157"/>
              <w:jc w:val="center"/>
              <w:rPr>
                <w:b/>
                <w:bCs/>
                <w:sz w:val="24"/>
                <w:szCs w:val="24"/>
              </w:rPr>
            </w:pPr>
          </w:p>
          <w:p w14:paraId="0B569385">
            <w:pPr>
              <w:spacing w:line="276" w:lineRule="auto"/>
              <w:ind w:left="150" w:right="1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3660DE4">
            <w:pPr>
              <w:ind w:left="150" w:right="1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грантах, совместных проектах с НКО и иных формах привлечения внебюджетных средств в сфере народного творчества и НЭД</w:t>
            </w:r>
          </w:p>
          <w:p w14:paraId="4D2F9CA0">
            <w:pPr>
              <w:ind w:left="150" w:right="157"/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 каждые привлеченные 100 тыс. рублей - 1 балл </w:t>
            </w:r>
          </w:p>
        </w:tc>
        <w:tc>
          <w:tcPr>
            <w:tcW w:w="2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73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4D5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45E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253D52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E8DE92">
            <w:pPr>
              <w:spacing w:line="276" w:lineRule="auto"/>
              <w:ind w:left="150" w:right="1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6AF79D5">
            <w:pPr>
              <w:ind w:left="150" w:right="157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4E1A9E2">
            <w:pPr>
              <w:spacing w:line="276" w:lineRule="auto"/>
              <w:jc w:val="right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ИТОГО</w:t>
            </w:r>
          </w:p>
        </w:tc>
        <w:tc>
          <w:tcPr>
            <w:tcW w:w="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03F2435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15CEEAE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</w:tbl>
    <w:p w14:paraId="3C9557D9">
      <w:pPr>
        <w:spacing w:line="276" w:lineRule="auto"/>
        <w:jc w:val="right"/>
        <w:rPr>
          <w:color w:val="0F1419"/>
          <w:sz w:val="24"/>
          <w:szCs w:val="24"/>
        </w:rPr>
      </w:pPr>
    </w:p>
    <w:p w14:paraId="4857EB23">
      <w:pPr>
        <w:jc w:val="right"/>
        <w:rPr>
          <w:color w:val="0F1419"/>
          <w:sz w:val="24"/>
          <w:szCs w:val="24"/>
        </w:rPr>
      </w:pPr>
    </w:p>
    <w:p w14:paraId="6FE4663E">
      <w:pPr>
        <w:jc w:val="right"/>
        <w:rPr>
          <w:color w:val="0F1419"/>
          <w:sz w:val="24"/>
          <w:szCs w:val="24"/>
        </w:rPr>
      </w:pPr>
    </w:p>
    <w:p w14:paraId="28335222">
      <w:pPr>
        <w:jc w:val="right"/>
        <w:rPr>
          <w:color w:val="0F1419"/>
          <w:sz w:val="24"/>
          <w:szCs w:val="24"/>
        </w:rPr>
      </w:pPr>
    </w:p>
    <w:p w14:paraId="53E2B4B2">
      <w:pPr>
        <w:jc w:val="right"/>
        <w:rPr>
          <w:color w:val="0F1419"/>
          <w:sz w:val="24"/>
          <w:szCs w:val="24"/>
        </w:rPr>
      </w:pPr>
    </w:p>
    <w:p w14:paraId="3B3B0268">
      <w:pPr>
        <w:jc w:val="right"/>
        <w:rPr>
          <w:color w:val="0F1419"/>
          <w:sz w:val="24"/>
          <w:szCs w:val="24"/>
        </w:rPr>
      </w:pPr>
    </w:p>
    <w:p w14:paraId="61D81F47">
      <w:pPr>
        <w:jc w:val="right"/>
        <w:rPr>
          <w:color w:val="0F1419"/>
          <w:sz w:val="24"/>
          <w:szCs w:val="24"/>
        </w:rPr>
      </w:pPr>
    </w:p>
    <w:p w14:paraId="3B34DC48">
      <w:pPr>
        <w:jc w:val="right"/>
        <w:rPr>
          <w:color w:val="0F1419"/>
          <w:sz w:val="24"/>
          <w:szCs w:val="24"/>
        </w:rPr>
      </w:pPr>
    </w:p>
    <w:p w14:paraId="75F388CD">
      <w:pPr>
        <w:jc w:val="right"/>
        <w:rPr>
          <w:color w:val="0F1419"/>
          <w:sz w:val="24"/>
          <w:szCs w:val="24"/>
        </w:rPr>
      </w:pPr>
    </w:p>
    <w:p w14:paraId="1AD407BA">
      <w:pPr>
        <w:jc w:val="right"/>
        <w:rPr>
          <w:color w:val="0F1419"/>
          <w:sz w:val="24"/>
          <w:szCs w:val="24"/>
        </w:rPr>
      </w:pPr>
    </w:p>
    <w:p w14:paraId="533929BC">
      <w:pPr>
        <w:jc w:val="right"/>
        <w:rPr>
          <w:color w:val="0F1419"/>
          <w:sz w:val="24"/>
          <w:szCs w:val="24"/>
        </w:rPr>
      </w:pPr>
    </w:p>
    <w:p w14:paraId="5302EFDB">
      <w:pPr>
        <w:jc w:val="right"/>
        <w:rPr>
          <w:color w:val="0F1419"/>
          <w:sz w:val="24"/>
          <w:szCs w:val="24"/>
        </w:rPr>
      </w:pPr>
    </w:p>
    <w:p w14:paraId="32B8873E">
      <w:pPr>
        <w:jc w:val="right"/>
        <w:rPr>
          <w:color w:val="0F1419"/>
          <w:sz w:val="24"/>
          <w:szCs w:val="24"/>
        </w:rPr>
      </w:pPr>
    </w:p>
    <w:p w14:paraId="6C291177">
      <w:pPr>
        <w:jc w:val="right"/>
        <w:rPr>
          <w:color w:val="0F1419"/>
          <w:sz w:val="24"/>
          <w:szCs w:val="24"/>
        </w:rPr>
      </w:pPr>
    </w:p>
    <w:p w14:paraId="0C814C51">
      <w:pPr>
        <w:widowControl/>
        <w:autoSpaceDE/>
        <w:autoSpaceDN/>
        <w:adjustRightInd/>
        <w:jc w:val="right"/>
        <w:rPr>
          <w:color w:val="0F1419"/>
          <w:sz w:val="24"/>
          <w:szCs w:val="24"/>
        </w:rPr>
      </w:pPr>
      <w:r>
        <w:rPr>
          <w:color w:val="0F1419"/>
          <w:sz w:val="24"/>
          <w:szCs w:val="24"/>
        </w:rPr>
        <w:t>Приложение 2</w:t>
      </w:r>
    </w:p>
    <w:p w14:paraId="575968EF">
      <w:pPr>
        <w:jc w:val="right"/>
        <w:rPr>
          <w:color w:val="000000"/>
          <w:spacing w:val="-4"/>
          <w:sz w:val="24"/>
          <w:szCs w:val="24"/>
        </w:rPr>
      </w:pPr>
      <w:r>
        <w:rPr>
          <w:color w:val="0F1419"/>
          <w:sz w:val="24"/>
          <w:szCs w:val="24"/>
        </w:rPr>
        <w:t xml:space="preserve">к Положению о </w:t>
      </w:r>
      <w:r>
        <w:rPr>
          <w:color w:val="000000"/>
          <w:spacing w:val="-4"/>
          <w:sz w:val="24"/>
          <w:szCs w:val="24"/>
        </w:rPr>
        <w:t xml:space="preserve">Всероссийском смотре-конкурсе </w:t>
      </w:r>
    </w:p>
    <w:p w14:paraId="1C1B8ACB">
      <w:pPr>
        <w:jc w:val="right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на звание «Лучший дом (центр) </w:t>
      </w:r>
      <w:r>
        <w:rPr>
          <w:color w:val="000000"/>
          <w:spacing w:val="-9"/>
          <w:sz w:val="24"/>
          <w:szCs w:val="24"/>
        </w:rPr>
        <w:t xml:space="preserve">народного творчества </w:t>
      </w:r>
    </w:p>
    <w:p w14:paraId="67A84BC9">
      <w:pPr>
        <w:jc w:val="right"/>
        <w:rPr>
          <w:color w:val="0F141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Российской Федерации</w:t>
      </w:r>
      <w:r>
        <w:rPr>
          <w:color w:val="000000"/>
          <w:spacing w:val="-4"/>
          <w:sz w:val="24"/>
          <w:szCs w:val="24"/>
        </w:rPr>
        <w:t xml:space="preserve"> 2025 года»</w:t>
      </w:r>
    </w:p>
    <w:p w14:paraId="3E704725">
      <w:pPr>
        <w:spacing w:line="276" w:lineRule="auto"/>
        <w:jc w:val="center"/>
        <w:rPr>
          <w:b/>
          <w:bCs/>
          <w:color w:val="0F1419"/>
          <w:sz w:val="24"/>
          <w:szCs w:val="24"/>
        </w:rPr>
      </w:pPr>
    </w:p>
    <w:p w14:paraId="74662A35">
      <w:pPr>
        <w:spacing w:line="276" w:lineRule="auto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bCs/>
          <w:color w:val="0F1419"/>
          <w:sz w:val="24"/>
          <w:szCs w:val="24"/>
        </w:rPr>
        <w:t xml:space="preserve"> Форма анкеты на участие во </w:t>
      </w:r>
      <w:r>
        <w:rPr>
          <w:b/>
          <w:color w:val="000000"/>
          <w:spacing w:val="-4"/>
          <w:sz w:val="24"/>
          <w:szCs w:val="24"/>
        </w:rPr>
        <w:t>Всероссийском смотре-конкурсе</w:t>
      </w:r>
    </w:p>
    <w:p w14:paraId="0E6E364F">
      <w:pPr>
        <w:spacing w:line="276" w:lineRule="auto"/>
        <w:jc w:val="center"/>
        <w:rPr>
          <w:b/>
          <w:color w:val="000000"/>
          <w:spacing w:val="-9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на звание «Лучший дом (центр) </w:t>
      </w:r>
      <w:r>
        <w:rPr>
          <w:b/>
          <w:color w:val="000000"/>
          <w:spacing w:val="-9"/>
          <w:sz w:val="24"/>
          <w:szCs w:val="24"/>
        </w:rPr>
        <w:t>народного творчества</w:t>
      </w:r>
    </w:p>
    <w:p w14:paraId="35261C56">
      <w:pPr>
        <w:spacing w:line="276" w:lineRule="auto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Российской Федерации</w:t>
      </w:r>
      <w:r>
        <w:rPr>
          <w:b/>
          <w:color w:val="000000"/>
          <w:spacing w:val="-4"/>
          <w:sz w:val="24"/>
          <w:szCs w:val="24"/>
        </w:rPr>
        <w:t xml:space="preserve"> 2025 года»</w:t>
      </w:r>
    </w:p>
    <w:p w14:paraId="1219EC75">
      <w:pPr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в номинации </w:t>
      </w:r>
      <w:r>
        <w:rPr>
          <w:b/>
          <w:bCs/>
          <w:color w:val="000000"/>
          <w:sz w:val="24"/>
          <w:szCs w:val="24"/>
        </w:rPr>
        <w:t>«У</w:t>
      </w:r>
      <w:r>
        <w:rPr>
          <w:b/>
          <w:bCs/>
          <w:color w:val="000000"/>
          <w:spacing w:val="-6"/>
          <w:sz w:val="24"/>
          <w:szCs w:val="24"/>
        </w:rPr>
        <w:t>чебно-методическая деятельность</w:t>
      </w:r>
      <w:r>
        <w:rPr>
          <w:b/>
          <w:bCs/>
          <w:color w:val="000000"/>
          <w:spacing w:val="-10"/>
          <w:sz w:val="24"/>
          <w:szCs w:val="24"/>
        </w:rPr>
        <w:t>»</w:t>
      </w:r>
    </w:p>
    <w:p w14:paraId="0790F67C">
      <w:pPr>
        <w:spacing w:line="276" w:lineRule="auto"/>
        <w:jc w:val="center"/>
        <w:rPr>
          <w:color w:val="0F1419"/>
          <w:sz w:val="24"/>
          <w:szCs w:val="24"/>
        </w:rPr>
      </w:pPr>
    </w:p>
    <w:p w14:paraId="5F4CAC71">
      <w:pPr>
        <w:spacing w:line="276" w:lineRule="auto"/>
        <w:jc w:val="center"/>
        <w:rPr>
          <w:color w:val="0F1419"/>
          <w:sz w:val="24"/>
          <w:szCs w:val="24"/>
        </w:rPr>
      </w:pPr>
      <w:r>
        <w:rPr>
          <w:color w:val="0F1419"/>
          <w:sz w:val="24"/>
          <w:szCs w:val="24"/>
        </w:rPr>
        <w:t>____________________________________________________________________</w:t>
      </w:r>
    </w:p>
    <w:p w14:paraId="1B804A23">
      <w:pPr>
        <w:spacing w:line="276" w:lineRule="auto"/>
        <w:jc w:val="center"/>
        <w:rPr>
          <w:i/>
          <w:color w:val="0F1419"/>
          <w:sz w:val="24"/>
          <w:szCs w:val="24"/>
        </w:rPr>
      </w:pPr>
      <w:r>
        <w:rPr>
          <w:i/>
          <w:color w:val="0F1419"/>
          <w:sz w:val="24"/>
          <w:szCs w:val="24"/>
        </w:rPr>
        <w:t>(полное наименование регионального Д(Ц)НТ)</w:t>
      </w:r>
    </w:p>
    <w:p w14:paraId="23A8E773">
      <w:pPr>
        <w:spacing w:line="276" w:lineRule="auto"/>
        <w:jc w:val="center"/>
        <w:rPr>
          <w:color w:val="0F1419"/>
          <w:sz w:val="24"/>
          <w:szCs w:val="24"/>
        </w:rPr>
      </w:pPr>
    </w:p>
    <w:tbl>
      <w:tblPr>
        <w:tblStyle w:val="3"/>
        <w:tblW w:w="511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4407"/>
        <w:gridCol w:w="5970"/>
        <w:gridCol w:w="1849"/>
        <w:gridCol w:w="1414"/>
      </w:tblGrid>
      <w:tr w14:paraId="1E1407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C3EC3D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№№</w:t>
            </w:r>
          </w:p>
          <w:p w14:paraId="744AA23E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п/п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E3F2CAA">
            <w:pPr>
              <w:spacing w:line="276" w:lineRule="auto"/>
              <w:ind w:left="150" w:right="157"/>
              <w:jc w:val="both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8A1779D">
            <w:pPr>
              <w:spacing w:line="276" w:lineRule="auto"/>
              <w:ind w:left="126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Характеристика деятельности по данному показателю</w:t>
            </w: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5766D45">
            <w:pPr>
              <w:ind w:left="39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B4AC27D">
            <w:pPr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Оценка, в баллах</w:t>
            </w:r>
          </w:p>
        </w:tc>
      </w:tr>
      <w:tr w14:paraId="6E60CD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7A68DC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5015690F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606C3393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2036C83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Количество проводимых Д(Ц)НТ учебно-методических мероприятий (суммарно за 3 года):</w:t>
            </w:r>
          </w:p>
          <w:p w14:paraId="4866BCD3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межмуниципального уровня -</w:t>
            </w:r>
            <w:r>
              <w:rPr>
                <w:i/>
                <w:iCs/>
                <w:color w:val="0F1419"/>
                <w:sz w:val="24"/>
                <w:szCs w:val="24"/>
              </w:rPr>
              <w:t xml:space="preserve"> 1 балл за каждое мероприятие,</w:t>
            </w:r>
          </w:p>
          <w:p w14:paraId="2866BF53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регионального уровня – 2 балла за каждое мероприятие,</w:t>
            </w:r>
          </w:p>
          <w:p w14:paraId="08C6905F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межрегионального уровня - 3 балла за каждое мероприятие,</w:t>
            </w:r>
          </w:p>
          <w:p w14:paraId="449D4F59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всероссийского уровня - 4 балла за каждое мероприятие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1F9E412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AAF5F1B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4E05D1C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37A360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C7920D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0D3AB7B2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2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0A5D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выездных учебно- методических мероприятий от общего количества учебно-методических мероприятий:</w:t>
            </w:r>
          </w:p>
          <w:p w14:paraId="158CE8FC">
            <w:pPr>
              <w:ind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до 10% - 1 балл,</w:t>
            </w:r>
          </w:p>
          <w:p w14:paraId="59D2D8DF">
            <w:pPr>
              <w:ind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 xml:space="preserve">до 20% - 2 балла, </w:t>
            </w:r>
          </w:p>
          <w:p w14:paraId="08D6CE3D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свыше 20% - 3 балла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3B2AADD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851BCAB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2BFEAE7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51A6D4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B1851F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624CBD5E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3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509A773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Количество профильных штатных специалистов, отвечающих за учебно-методическую деятельность:</w:t>
            </w:r>
          </w:p>
          <w:p w14:paraId="4E69BA9F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каждого специалиста – 1 балл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929496B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FF257AD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F1A5E78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6EA9DA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2666C4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4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4412B52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Наличие лицензии на образовательную деятельность:</w:t>
            </w:r>
          </w:p>
          <w:p w14:paraId="1327B286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каждую лицензию – 1 балл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F867F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8B94BCA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79D754C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711063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34E2E7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58F16300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5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F6FE1D9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Количество базовых коллективов по жанрам, активно участвующих в проведении учебно-методических мероприятий:</w:t>
            </w:r>
          </w:p>
          <w:p w14:paraId="42381C6C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каждое формирование – 1 балл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DA725DC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06465D5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6A3480F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</w:tr>
      <w:tr w14:paraId="60F7EF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CCEA59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7C470D9A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4CE1D2C4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6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E5F92EE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Наличие профильных работников Д(Ц)НТ (основной персонал), повысивших квалификацию в области культурно-досуговой деятельности и НХТ (суммарно за 3 года):</w:t>
            </w:r>
          </w:p>
          <w:p w14:paraId="03947341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 рамках региональных учебных мероприятий - 1 балл,</w:t>
            </w:r>
          </w:p>
          <w:p w14:paraId="71164054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 рамках межрегиональных учебных мероприятий - 2 балла,</w:t>
            </w:r>
          </w:p>
          <w:p w14:paraId="7DAECDCC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 рамках учебных мероприятий ГРДНТ им. В.Д. Поленова - 3 балла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1A11E8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2DC26E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388C4EF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5A719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B13C3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7DF1E512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43EDDD73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7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554CA3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Процент от общего числа работников Д(Ц)НТ профильных специалистов (основной персонал), ежегодно повышающих квалификацию в области культурно-досуговой деятельности и НХТ:</w:t>
            </w:r>
          </w:p>
          <w:p w14:paraId="3E69C41C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до 10% - 1 балл,</w:t>
            </w:r>
          </w:p>
          <w:p w14:paraId="7A95372B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 xml:space="preserve">до 20% - 2 балла, </w:t>
            </w:r>
          </w:p>
          <w:p w14:paraId="49725406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свыше 20% - 3 балла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20E3722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65DBBC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CAB809A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7A666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672650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5A35A5B9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5723A22B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8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D111E0C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Внедрение инновационных форм и методов работы с различными категориями населения и в учебно-методическую деятельность, в том числе с применением мультимедийных технологий:</w:t>
            </w:r>
          </w:p>
          <w:p w14:paraId="64BA5E57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 xml:space="preserve">за каждую инновационную форму </w:t>
            </w:r>
            <w:r>
              <w:rPr>
                <w:i/>
                <w:iCs/>
                <w:color w:val="0F1419"/>
                <w:sz w:val="24"/>
                <w:szCs w:val="24"/>
              </w:rPr>
              <w:t xml:space="preserve">– </w:t>
            </w:r>
            <w:r>
              <w:rPr>
                <w:i/>
                <w:color w:val="0F1419"/>
                <w:sz w:val="24"/>
                <w:szCs w:val="24"/>
              </w:rPr>
              <w:t>1 балл (обязательно описание данной инновации, ссылка на публикацию)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CC22158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E8622D5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AF31481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</w:tr>
      <w:tr w14:paraId="119DB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37417A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50D7CAD9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018DC565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9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DA7002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Наличие конкурсов профессионального мастерства:</w:t>
            </w:r>
          </w:p>
          <w:p w14:paraId="7507DF08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межмуниципального уровня -</w:t>
            </w:r>
            <w:r>
              <w:rPr>
                <w:i/>
                <w:iCs/>
                <w:color w:val="0F1419"/>
                <w:sz w:val="24"/>
                <w:szCs w:val="24"/>
              </w:rPr>
              <w:t xml:space="preserve"> 1 балл за каждое мероприятие,</w:t>
            </w:r>
          </w:p>
          <w:p w14:paraId="4A042733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регионального уровня – 2 балла за каждое мероприятие,</w:t>
            </w:r>
          </w:p>
          <w:p w14:paraId="1C609B95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межрегионального уровня - 3 балла за каждое мероприятие,</w:t>
            </w:r>
          </w:p>
          <w:p w14:paraId="413D649E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всероссийского уровня - 4 балла за каждое мероприятие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49D1CB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A025521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6889A8C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</w:tr>
      <w:tr w14:paraId="23AE9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CBD601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4BDDCA44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16A56DBE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10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6FE019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Взаимодействие с региональными и муниципальными учреждениями образования, молодёжной политики, социального обеспечения (перечислить учреждения и указать форму взаимодействия) при наличии соглашения (договора) о взаимодействии</w:t>
            </w:r>
          </w:p>
          <w:p w14:paraId="55F50343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каждый договор (соглашение) о сотрудничестве – 1 балл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38AF58F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FB4F14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815B430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2B244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818851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3578064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11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EE544A2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Разработка методик и программ сохранения и развития жанров народного художественного творчества и сохранения и популяризации НЭД:</w:t>
            </w:r>
          </w:p>
          <w:p w14:paraId="67C5E881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–</w:t>
            </w:r>
            <w:r>
              <w:rPr>
                <w:i/>
                <w:color w:val="0F1419"/>
                <w:sz w:val="24"/>
                <w:szCs w:val="24"/>
              </w:rPr>
              <w:t xml:space="preserve"> 1 балл за каждую методику,</w:t>
            </w:r>
          </w:p>
          <w:p w14:paraId="41A93311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–</w:t>
            </w:r>
            <w:r>
              <w:rPr>
                <w:i/>
                <w:color w:val="0F1419"/>
                <w:sz w:val="24"/>
                <w:szCs w:val="24"/>
              </w:rPr>
              <w:t xml:space="preserve"> 2 балла за каждую программу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318F855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FFB9099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E70E81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6C40ED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6973AF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2A87C895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626C4F6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12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85EDA20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Наличие у Д(Ц)НТ и его специалистов дипломов, благодарностей, почетных грамот органов управления сферой культуры федерального уровня за достижения в учебно-методической деятельности:</w:t>
            </w:r>
          </w:p>
          <w:p w14:paraId="39E2BF6A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каждое наименование по 1 баллу</w:t>
            </w: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 w14:paraId="4AD60B6A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  <w:p w14:paraId="1080CD68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 w14:paraId="3854D7D6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</w:tcPr>
          <w:p w14:paraId="29E90A67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2AE338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D8D14A">
            <w:pPr>
              <w:spacing w:line="276" w:lineRule="auto"/>
              <w:ind w:left="150" w:right="157"/>
              <w:jc w:val="center"/>
              <w:rPr>
                <w:b/>
                <w:bCs/>
                <w:sz w:val="24"/>
                <w:szCs w:val="24"/>
              </w:rPr>
            </w:pPr>
          </w:p>
          <w:p w14:paraId="45E1BEDA">
            <w:pPr>
              <w:spacing w:line="276" w:lineRule="auto"/>
              <w:ind w:left="150" w:right="1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063892A">
            <w:pPr>
              <w:ind w:left="150" w:right="1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грантах, совместных проектах с НКО и иных формах привлечения внебюджетных средств в учебно-методической деятельности:</w:t>
            </w:r>
          </w:p>
          <w:p w14:paraId="0591CD2E">
            <w:pPr>
              <w:ind w:left="150" w:right="157"/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за каждые привлеченные 50 тыс. рублей - 1 балл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04A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34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C5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14:paraId="515609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05CE7B">
            <w:pPr>
              <w:spacing w:line="276" w:lineRule="auto"/>
              <w:ind w:left="150" w:right="1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BCF3A9E">
            <w:pPr>
              <w:ind w:left="150" w:right="157"/>
              <w:jc w:val="both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808BBDA">
            <w:pPr>
              <w:spacing w:line="276" w:lineRule="auto"/>
              <w:jc w:val="right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21B8F28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64FE020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</w:tbl>
    <w:p w14:paraId="6CB1F12D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14:paraId="017E34A0">
      <w:pPr>
        <w:widowControl/>
        <w:autoSpaceDE/>
        <w:autoSpaceDN/>
        <w:adjustRightInd/>
        <w:spacing w:after="160" w:line="259" w:lineRule="auto"/>
        <w:rPr>
          <w:color w:val="0F1419"/>
          <w:sz w:val="24"/>
          <w:szCs w:val="24"/>
        </w:rPr>
      </w:pPr>
      <w:r>
        <w:rPr>
          <w:color w:val="0F1419"/>
          <w:sz w:val="24"/>
          <w:szCs w:val="24"/>
        </w:rPr>
        <w:br w:type="page"/>
      </w:r>
    </w:p>
    <w:p w14:paraId="61B5998B">
      <w:pPr>
        <w:widowControl/>
        <w:autoSpaceDE/>
        <w:autoSpaceDN/>
        <w:adjustRightInd/>
        <w:jc w:val="right"/>
        <w:rPr>
          <w:color w:val="0F1419"/>
          <w:sz w:val="24"/>
          <w:szCs w:val="24"/>
        </w:rPr>
      </w:pPr>
      <w:r>
        <w:rPr>
          <w:color w:val="0F1419"/>
          <w:sz w:val="24"/>
          <w:szCs w:val="24"/>
        </w:rPr>
        <w:t xml:space="preserve">Приложение </w:t>
      </w:r>
      <w:bookmarkStart w:id="0" w:name="_GoBack"/>
      <w:bookmarkEnd w:id="0"/>
      <w:r>
        <w:rPr>
          <w:color w:val="0F1419"/>
          <w:sz w:val="24"/>
          <w:szCs w:val="24"/>
        </w:rPr>
        <w:t>3</w:t>
      </w:r>
    </w:p>
    <w:p w14:paraId="0ED044EA">
      <w:pPr>
        <w:jc w:val="right"/>
        <w:rPr>
          <w:color w:val="000000"/>
          <w:spacing w:val="-4"/>
          <w:sz w:val="24"/>
          <w:szCs w:val="24"/>
        </w:rPr>
      </w:pPr>
      <w:r>
        <w:rPr>
          <w:color w:val="0F1419"/>
          <w:sz w:val="24"/>
          <w:szCs w:val="24"/>
        </w:rPr>
        <w:t xml:space="preserve">к Положению о </w:t>
      </w:r>
      <w:r>
        <w:rPr>
          <w:color w:val="000000"/>
          <w:spacing w:val="-4"/>
          <w:sz w:val="24"/>
          <w:szCs w:val="24"/>
        </w:rPr>
        <w:t xml:space="preserve">Всероссийском смотре-конкурсе </w:t>
      </w:r>
    </w:p>
    <w:p w14:paraId="66F074A9">
      <w:pPr>
        <w:jc w:val="right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на звание «Лучший дом (центр) </w:t>
      </w:r>
      <w:r>
        <w:rPr>
          <w:color w:val="000000"/>
          <w:spacing w:val="-9"/>
          <w:sz w:val="24"/>
          <w:szCs w:val="24"/>
        </w:rPr>
        <w:t xml:space="preserve">народного творчества </w:t>
      </w:r>
    </w:p>
    <w:p w14:paraId="31B86551">
      <w:pPr>
        <w:jc w:val="right"/>
        <w:rPr>
          <w:color w:val="0F141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Российской Федерации</w:t>
      </w:r>
      <w:r>
        <w:rPr>
          <w:color w:val="000000"/>
          <w:spacing w:val="-4"/>
          <w:sz w:val="24"/>
          <w:szCs w:val="24"/>
        </w:rPr>
        <w:t xml:space="preserve"> 2025 года»</w:t>
      </w:r>
    </w:p>
    <w:p w14:paraId="0A1399D0">
      <w:pPr>
        <w:jc w:val="center"/>
        <w:rPr>
          <w:color w:val="0F1419"/>
          <w:sz w:val="24"/>
          <w:szCs w:val="24"/>
        </w:rPr>
      </w:pPr>
      <w:r>
        <w:rPr>
          <w:b/>
          <w:bCs/>
          <w:color w:val="0F1419"/>
          <w:sz w:val="24"/>
          <w:szCs w:val="24"/>
        </w:rPr>
        <w:t> </w:t>
      </w:r>
    </w:p>
    <w:p w14:paraId="2D007BAF">
      <w:pPr>
        <w:spacing w:line="276" w:lineRule="auto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bCs/>
          <w:color w:val="0F1419"/>
          <w:sz w:val="24"/>
          <w:szCs w:val="24"/>
        </w:rPr>
        <w:t xml:space="preserve">Форма анкеты на участие во </w:t>
      </w:r>
      <w:r>
        <w:rPr>
          <w:b/>
          <w:color w:val="000000"/>
          <w:spacing w:val="-4"/>
          <w:sz w:val="24"/>
          <w:szCs w:val="24"/>
        </w:rPr>
        <w:t>Всероссийском смотре-конкурсе</w:t>
      </w:r>
    </w:p>
    <w:p w14:paraId="0695A81E">
      <w:pPr>
        <w:spacing w:line="276" w:lineRule="auto"/>
        <w:jc w:val="center"/>
        <w:rPr>
          <w:b/>
          <w:color w:val="000000"/>
          <w:spacing w:val="-9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на звание «Лучший дом (центр) </w:t>
      </w:r>
      <w:r>
        <w:rPr>
          <w:b/>
          <w:color w:val="000000"/>
          <w:spacing w:val="-9"/>
          <w:sz w:val="24"/>
          <w:szCs w:val="24"/>
        </w:rPr>
        <w:t>народного творчества</w:t>
      </w:r>
    </w:p>
    <w:p w14:paraId="365F3B93">
      <w:pPr>
        <w:spacing w:line="276" w:lineRule="auto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Российской Федерации</w:t>
      </w:r>
      <w:r>
        <w:rPr>
          <w:b/>
          <w:color w:val="000000"/>
          <w:spacing w:val="-4"/>
          <w:sz w:val="24"/>
          <w:szCs w:val="24"/>
        </w:rPr>
        <w:t xml:space="preserve"> 2025 года»</w:t>
      </w:r>
    </w:p>
    <w:p w14:paraId="7E7D4479">
      <w:pPr>
        <w:spacing w:line="276" w:lineRule="auto"/>
        <w:jc w:val="center"/>
        <w:rPr>
          <w:b/>
          <w:bCs/>
          <w:color w:val="000000"/>
          <w:spacing w:val="-10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в номинации </w:t>
      </w:r>
      <w:r>
        <w:rPr>
          <w:b/>
          <w:bCs/>
          <w:color w:val="000000"/>
          <w:sz w:val="24"/>
          <w:szCs w:val="24"/>
        </w:rPr>
        <w:t>«Информационная деятельность</w:t>
      </w:r>
      <w:r>
        <w:rPr>
          <w:b/>
          <w:bCs/>
          <w:color w:val="000000"/>
          <w:spacing w:val="-10"/>
          <w:sz w:val="24"/>
          <w:szCs w:val="24"/>
        </w:rPr>
        <w:t>»</w:t>
      </w:r>
    </w:p>
    <w:p w14:paraId="26B8E080">
      <w:pPr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14:paraId="1D8962CC">
      <w:pPr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14:paraId="3A9FECD9">
      <w:pPr>
        <w:spacing w:line="276" w:lineRule="auto"/>
        <w:jc w:val="center"/>
        <w:rPr>
          <w:color w:val="0F1419"/>
          <w:sz w:val="24"/>
          <w:szCs w:val="24"/>
        </w:rPr>
      </w:pPr>
      <w:r>
        <w:rPr>
          <w:color w:val="0F1419"/>
          <w:sz w:val="24"/>
          <w:szCs w:val="24"/>
        </w:rPr>
        <w:t>____________________________________________________________________</w:t>
      </w:r>
    </w:p>
    <w:p w14:paraId="244E1846">
      <w:pPr>
        <w:spacing w:line="276" w:lineRule="auto"/>
        <w:jc w:val="center"/>
        <w:rPr>
          <w:i/>
          <w:color w:val="0F1419"/>
          <w:sz w:val="24"/>
          <w:szCs w:val="24"/>
        </w:rPr>
      </w:pPr>
      <w:r>
        <w:rPr>
          <w:i/>
          <w:color w:val="0F1419"/>
          <w:sz w:val="24"/>
          <w:szCs w:val="24"/>
        </w:rPr>
        <w:t>(полное наименование регионального Д(Ц)НТ)</w:t>
      </w:r>
    </w:p>
    <w:p w14:paraId="63060E4B">
      <w:pPr>
        <w:spacing w:line="276" w:lineRule="auto"/>
        <w:jc w:val="center"/>
        <w:rPr>
          <w:color w:val="0F1419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4726"/>
        <w:gridCol w:w="5837"/>
        <w:gridCol w:w="1809"/>
        <w:gridCol w:w="1389"/>
      </w:tblGrid>
      <w:tr w14:paraId="37D9F1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5F3D6B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№№</w:t>
            </w:r>
          </w:p>
          <w:p w14:paraId="32C41A79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п/п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8385D50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560993C">
            <w:pPr>
              <w:spacing w:line="276" w:lineRule="auto"/>
              <w:ind w:left="126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Характеристика деятельности по данному показателю</w:t>
            </w: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5E35E1A">
            <w:pPr>
              <w:spacing w:line="276" w:lineRule="auto"/>
              <w:ind w:left="39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E9DD3F9">
            <w:pPr>
              <w:spacing w:line="276" w:lineRule="auto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Оценка, в баллах</w:t>
            </w:r>
          </w:p>
        </w:tc>
      </w:tr>
      <w:tr w14:paraId="72F7CC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01EB86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47B53F0F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1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F40F1F4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Количество профильных штатных специалистов, отвечающих за информационную деятельность:</w:t>
            </w:r>
          </w:p>
          <w:p w14:paraId="498EC667">
            <w:pPr>
              <w:ind w:left="150" w:right="157"/>
              <w:jc w:val="both"/>
              <w:rPr>
                <w:color w:val="0F1419"/>
                <w:sz w:val="24"/>
                <w:szCs w:val="24"/>
                <w:vertAlign w:val="subscript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каждого специалиста – 1 балл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55E3011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66BD11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6FF431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6E3C9A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6A3629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0AC7E2A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6470DEBB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2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91DA517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Наличие профильных работников Д(Ц)НТ (основной персонал), повысивших квалификацию в области информационной деятельности (суммарно за 3 года):</w:t>
            </w:r>
          </w:p>
          <w:p w14:paraId="6153588B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 рамках региональных учебных мероприятий - 1 балл,</w:t>
            </w:r>
          </w:p>
          <w:p w14:paraId="5578A9A2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 рамках межрегиональных учебных мероприятий - 2 балла,</w:t>
            </w:r>
          </w:p>
          <w:p w14:paraId="11107D3A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>в рамках учебных мероприятий ГРДНТ им. В.Д. Поленова - 3 балла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0A0D796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57B7433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C25B926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1A45F3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030D50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5E227F1E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3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C737F8E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Внедрение инновационных форм и методов информационно-издательской работы, в том числе с применением современных инновационных и онлайн-технологий:</w:t>
            </w:r>
          </w:p>
          <w:p w14:paraId="25F16CBD">
            <w:pPr>
              <w:ind w:left="150" w:right="157"/>
              <w:jc w:val="both"/>
              <w:rPr>
                <w:i/>
                <w:color w:val="0F1419"/>
                <w:sz w:val="24"/>
                <w:szCs w:val="24"/>
              </w:rPr>
            </w:pPr>
            <w:r>
              <w:rPr>
                <w:i/>
                <w:color w:val="0F1419"/>
                <w:sz w:val="24"/>
                <w:szCs w:val="24"/>
              </w:rPr>
              <w:t xml:space="preserve">за каждую инновационную форму </w:t>
            </w:r>
            <w:r>
              <w:rPr>
                <w:i/>
                <w:iCs/>
                <w:color w:val="0F1419"/>
                <w:sz w:val="24"/>
                <w:szCs w:val="24"/>
              </w:rPr>
              <w:t xml:space="preserve">– </w:t>
            </w:r>
            <w:r>
              <w:rPr>
                <w:i/>
                <w:color w:val="0F1419"/>
                <w:sz w:val="24"/>
                <w:szCs w:val="24"/>
              </w:rPr>
              <w:t>1 балл (обязательно описание данной инновации)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9E555C5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182881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FD6B0B5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7F3BE5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897CD1A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42A41CA3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CEB69EA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Информационно-издательская деятельность:</w:t>
            </w:r>
          </w:p>
          <w:p w14:paraId="5E4B0189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печатные издания (информационные, периодические, методические, репертуарные и т.п.) – 1 балл за каждое издание;</w:t>
            </w:r>
          </w:p>
          <w:p w14:paraId="7E86C234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информационно-издательские проекты на электронных носителях – 1 балл за каждое издание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2D53224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F13C43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CA19E20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5EB3C0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7E22758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7A0C1BA1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D8CE653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16CDB49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Корпоративные интернет-ресурсы:</w:t>
            </w:r>
          </w:p>
          <w:p w14:paraId="28257742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наличие официального сайта – 1 балл,</w:t>
            </w:r>
          </w:p>
          <w:p w14:paraId="405CDC7E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наличие специализированных интернет-сайтов (сайты структурных подразделений, тематические сайты, сайты в рамках проектов и т.п.) – 1 балл за каждый (прикрепить ссылки);</w:t>
            </w:r>
          </w:p>
          <w:p w14:paraId="4583AC7C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наличие официальных аккаунтов учреждения в социальных сетях – 1 балл за каждую социальную сеть (прикрепить ссылки);</w:t>
            </w:r>
          </w:p>
          <w:p w14:paraId="677CDB4C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посещаемость официального сайта в 2024 году – 1 балл за каждые 1 тыс. посетителей;</w:t>
            </w:r>
          </w:p>
          <w:p w14:paraId="3BF5F309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аудитория социальных сетей – 1 балл за каждые 3 тыс. подписчиков (суммарно во всех социальных сетях)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57986D8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236FFDD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3026A46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0D221B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F15F4A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E17752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Работа со средствами массовой информации, информационная и PR деятельность:</w:t>
            </w:r>
          </w:p>
          <w:p w14:paraId="02AB4BAD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наличие совместного проекта с региональным СМИ – 10 балов за проект;</w:t>
            </w:r>
          </w:p>
          <w:p w14:paraId="0082D8E2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количество телевизионных сюжетов на региональных и федеральных каналах – 2 балла за каждый сюжет;</w:t>
            </w:r>
          </w:p>
          <w:p w14:paraId="36C70FF3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количество телевизионных сюжетов на местных каналах – 1 балл за каждый сюжет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DBBB072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6CBD9B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AB2EC5B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 </w:t>
            </w:r>
          </w:p>
        </w:tc>
      </w:tr>
      <w:tr w14:paraId="004EFB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07594B2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69D666F9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61395777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FDD577B">
            <w:pPr>
              <w:ind w:left="150" w:right="1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деятельность на портале «Культура.РФ» (на основании рейтинга информационной активности культурной жизни регионов МК РФ). Рейтинг учреждения по региону среди всех учреждений культуры:</w:t>
            </w:r>
          </w:p>
          <w:p w14:paraId="1971EF10">
            <w:pPr>
              <w:ind w:left="150" w:right="1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1-5 место - 3 баллов, </w:t>
            </w:r>
          </w:p>
          <w:p w14:paraId="42ED0983">
            <w:pPr>
              <w:ind w:left="150" w:right="1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6-20 место - 2 балла,</w:t>
            </w:r>
          </w:p>
          <w:p w14:paraId="1A92B21F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 и ниже – 1 балл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8C80656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CA7D81F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E1B1705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  <w:tr w14:paraId="68D605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103D794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3B723F61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8F642C8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Учебно-методическая деятельность:</w:t>
            </w:r>
          </w:p>
          <w:p w14:paraId="0A6CC4A2">
            <w:pPr>
              <w:ind w:left="150" w:right="157"/>
              <w:jc w:val="both"/>
              <w:rPr>
                <w:i/>
                <w:iCs/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проведение учебно-методических мероприятий, посвященных развитию информационно-издательской деятельности для специалистов муниципальных культурно-досуговых учреждений – 1 балл за каждое мероприятие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C02364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B1A7112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708CCB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</w:tr>
      <w:tr w14:paraId="60D7A1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A31966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</w:rPr>
            </w:pPr>
          </w:p>
          <w:p w14:paraId="0D12606F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F1419"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50A37E7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color w:val="0F1419"/>
                <w:sz w:val="24"/>
                <w:szCs w:val="24"/>
              </w:rPr>
              <w:t>Наличие у Д(Ц)НТ и его специалистов дипломов, благодарностей, почетных грамот федеральных органов управления сферой культуры за достижения в развитии информационно-издательской деятельности:</w:t>
            </w:r>
          </w:p>
          <w:p w14:paraId="440F4786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color w:val="0F1419"/>
                <w:sz w:val="24"/>
                <w:szCs w:val="24"/>
              </w:rPr>
              <w:t>за каждое наименование - 1 балл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937B8C6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9B83649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B074464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</w:tr>
      <w:tr w14:paraId="3DA6F6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4EDDBD">
            <w:pPr>
              <w:spacing w:line="276" w:lineRule="auto"/>
              <w:ind w:left="150" w:right="157"/>
              <w:jc w:val="center"/>
              <w:rPr>
                <w:b/>
                <w:bCs/>
                <w:sz w:val="24"/>
                <w:szCs w:val="24"/>
              </w:rPr>
            </w:pPr>
          </w:p>
          <w:p w14:paraId="2B9D83D0">
            <w:pPr>
              <w:spacing w:line="276" w:lineRule="auto"/>
              <w:ind w:left="150" w:right="157"/>
              <w:jc w:val="center"/>
              <w:rPr>
                <w:b/>
                <w:bCs/>
                <w:color w:val="0F1419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4D68878">
            <w:pPr>
              <w:ind w:left="150" w:right="1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грантах, совместных проектах с НКО и иных формах привлечения внебюджетных средств для развития информационно-издательской деятельности:</w:t>
            </w:r>
          </w:p>
          <w:p w14:paraId="453E4F7E">
            <w:pPr>
              <w:ind w:left="150" w:right="157"/>
              <w:jc w:val="both"/>
              <w:rPr>
                <w:color w:val="0F1419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 каждые привлеченные 50 тыс. рублей - 1 балл</w:t>
            </w: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27C5DD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8286B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1B7A7A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14:paraId="2B9C14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41CD84">
            <w:pPr>
              <w:spacing w:line="276" w:lineRule="auto"/>
              <w:ind w:left="150" w:right="1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C7619BD">
            <w:pPr>
              <w:ind w:left="150" w:right="157"/>
              <w:jc w:val="both"/>
              <w:rPr>
                <w:sz w:val="24"/>
                <w:szCs w:val="24"/>
              </w:rPr>
            </w:pPr>
          </w:p>
        </w:tc>
        <w:tc>
          <w:tcPr>
            <w:tcW w:w="20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9C6713A">
            <w:pPr>
              <w:spacing w:line="276" w:lineRule="auto"/>
              <w:jc w:val="right"/>
              <w:rPr>
                <w:b/>
                <w:bCs/>
                <w:color w:val="0F1419"/>
                <w:sz w:val="24"/>
                <w:szCs w:val="24"/>
              </w:rPr>
            </w:pPr>
            <w:r>
              <w:rPr>
                <w:b/>
                <w:bCs/>
                <w:color w:val="0F1419"/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CF2AACB">
            <w:pPr>
              <w:spacing w:line="276" w:lineRule="auto"/>
              <w:jc w:val="both"/>
              <w:rPr>
                <w:b/>
                <w:bCs/>
                <w:color w:val="0F1419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8EF6B9">
            <w:pPr>
              <w:spacing w:line="276" w:lineRule="auto"/>
              <w:jc w:val="both"/>
              <w:rPr>
                <w:color w:val="0F1419"/>
                <w:sz w:val="24"/>
                <w:szCs w:val="24"/>
              </w:rPr>
            </w:pPr>
          </w:p>
        </w:tc>
      </w:tr>
    </w:tbl>
    <w:p w14:paraId="1DC22E5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654407"/>
      <w:docPartObj>
        <w:docPartGallery w:val="autotext"/>
      </w:docPartObj>
    </w:sdtPr>
    <w:sdtContent>
      <w:p w14:paraId="39770A6C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3126E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D663B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716A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793AD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C2AA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E6C4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04"/>
    <w:rsid w:val="000125E2"/>
    <w:rsid w:val="00015B9F"/>
    <w:rsid w:val="000433F8"/>
    <w:rsid w:val="00060200"/>
    <w:rsid w:val="00084F61"/>
    <w:rsid w:val="000935EF"/>
    <w:rsid w:val="000A23D2"/>
    <w:rsid w:val="000B7050"/>
    <w:rsid w:val="000B77FC"/>
    <w:rsid w:val="000C1F66"/>
    <w:rsid w:val="000E2AED"/>
    <w:rsid w:val="000E73ED"/>
    <w:rsid w:val="000F0D39"/>
    <w:rsid w:val="00122830"/>
    <w:rsid w:val="00127204"/>
    <w:rsid w:val="001402A5"/>
    <w:rsid w:val="0015616E"/>
    <w:rsid w:val="00166443"/>
    <w:rsid w:val="0018650A"/>
    <w:rsid w:val="00187CEC"/>
    <w:rsid w:val="001A3A4B"/>
    <w:rsid w:val="00213466"/>
    <w:rsid w:val="00225627"/>
    <w:rsid w:val="00274B66"/>
    <w:rsid w:val="00277C9F"/>
    <w:rsid w:val="00282337"/>
    <w:rsid w:val="002A4AF5"/>
    <w:rsid w:val="002B09D7"/>
    <w:rsid w:val="002E2ABF"/>
    <w:rsid w:val="00306ED7"/>
    <w:rsid w:val="00320280"/>
    <w:rsid w:val="00323631"/>
    <w:rsid w:val="003422F4"/>
    <w:rsid w:val="003E37B6"/>
    <w:rsid w:val="004138AC"/>
    <w:rsid w:val="00417CB6"/>
    <w:rsid w:val="004443D1"/>
    <w:rsid w:val="004C37C6"/>
    <w:rsid w:val="004D347F"/>
    <w:rsid w:val="004E21EC"/>
    <w:rsid w:val="004F214B"/>
    <w:rsid w:val="004F6434"/>
    <w:rsid w:val="00506138"/>
    <w:rsid w:val="005102AB"/>
    <w:rsid w:val="00523B94"/>
    <w:rsid w:val="0056298B"/>
    <w:rsid w:val="00564B87"/>
    <w:rsid w:val="005A52E5"/>
    <w:rsid w:val="005A77BD"/>
    <w:rsid w:val="005B741F"/>
    <w:rsid w:val="005C1A36"/>
    <w:rsid w:val="005E20C7"/>
    <w:rsid w:val="00623A04"/>
    <w:rsid w:val="00653AF0"/>
    <w:rsid w:val="006927CB"/>
    <w:rsid w:val="006B08CE"/>
    <w:rsid w:val="006B2688"/>
    <w:rsid w:val="006D48A3"/>
    <w:rsid w:val="006F07FA"/>
    <w:rsid w:val="006F7513"/>
    <w:rsid w:val="00720492"/>
    <w:rsid w:val="007254AC"/>
    <w:rsid w:val="007272AC"/>
    <w:rsid w:val="00785345"/>
    <w:rsid w:val="00787E6D"/>
    <w:rsid w:val="0079026F"/>
    <w:rsid w:val="007C3E2E"/>
    <w:rsid w:val="00817571"/>
    <w:rsid w:val="0082322C"/>
    <w:rsid w:val="008326F2"/>
    <w:rsid w:val="00855B49"/>
    <w:rsid w:val="0085687A"/>
    <w:rsid w:val="00884B31"/>
    <w:rsid w:val="008B528D"/>
    <w:rsid w:val="008D293C"/>
    <w:rsid w:val="008E0A28"/>
    <w:rsid w:val="009034E0"/>
    <w:rsid w:val="00904247"/>
    <w:rsid w:val="00911373"/>
    <w:rsid w:val="0091139A"/>
    <w:rsid w:val="00973628"/>
    <w:rsid w:val="00987FF1"/>
    <w:rsid w:val="009B340D"/>
    <w:rsid w:val="00A07B4E"/>
    <w:rsid w:val="00A27DE8"/>
    <w:rsid w:val="00A37758"/>
    <w:rsid w:val="00A504B5"/>
    <w:rsid w:val="00AB1C0C"/>
    <w:rsid w:val="00AC71AD"/>
    <w:rsid w:val="00AF0B64"/>
    <w:rsid w:val="00AF2882"/>
    <w:rsid w:val="00B36F98"/>
    <w:rsid w:val="00B51FA3"/>
    <w:rsid w:val="00B64767"/>
    <w:rsid w:val="00B6684E"/>
    <w:rsid w:val="00B77661"/>
    <w:rsid w:val="00B82B2D"/>
    <w:rsid w:val="00B9442B"/>
    <w:rsid w:val="00BC3833"/>
    <w:rsid w:val="00BC7AF4"/>
    <w:rsid w:val="00BD02F1"/>
    <w:rsid w:val="00BD4DD4"/>
    <w:rsid w:val="00BE6286"/>
    <w:rsid w:val="00BF38E2"/>
    <w:rsid w:val="00C47B7C"/>
    <w:rsid w:val="00C57959"/>
    <w:rsid w:val="00C7083F"/>
    <w:rsid w:val="00CB10C8"/>
    <w:rsid w:val="00CB7CF2"/>
    <w:rsid w:val="00CD12D0"/>
    <w:rsid w:val="00CE0FBD"/>
    <w:rsid w:val="00CF30FD"/>
    <w:rsid w:val="00D012E4"/>
    <w:rsid w:val="00D0547A"/>
    <w:rsid w:val="00D173EF"/>
    <w:rsid w:val="00D4205A"/>
    <w:rsid w:val="00D564E4"/>
    <w:rsid w:val="00D56FC1"/>
    <w:rsid w:val="00D8224B"/>
    <w:rsid w:val="00DA263C"/>
    <w:rsid w:val="00DC2EC7"/>
    <w:rsid w:val="00DD7BF0"/>
    <w:rsid w:val="00DE678A"/>
    <w:rsid w:val="00DF0AAE"/>
    <w:rsid w:val="00E42E19"/>
    <w:rsid w:val="00E56F19"/>
    <w:rsid w:val="00E82458"/>
    <w:rsid w:val="00E9100B"/>
    <w:rsid w:val="00ED4895"/>
    <w:rsid w:val="00F03F2B"/>
    <w:rsid w:val="00F34C96"/>
    <w:rsid w:val="00F40BC5"/>
    <w:rsid w:val="00F6525A"/>
    <w:rsid w:val="00F65597"/>
    <w:rsid w:val="00F70121"/>
    <w:rsid w:val="00FB0679"/>
    <w:rsid w:val="00FB3A97"/>
    <w:rsid w:val="00FC07A0"/>
    <w:rsid w:val="00FD12A8"/>
    <w:rsid w:val="00FE7405"/>
    <w:rsid w:val="00FF0DFD"/>
    <w:rsid w:val="1319624C"/>
    <w:rsid w:val="1A422586"/>
    <w:rsid w:val="2A525EF4"/>
    <w:rsid w:val="31781450"/>
    <w:rsid w:val="462D2CF5"/>
    <w:rsid w:val="740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</w:rPr>
  </w:style>
  <w:style w:type="character" w:customStyle="1" w:styleId="9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CB62-97D3-433B-BEF7-AB84F8CD26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1729</Words>
  <Characters>9858</Characters>
  <Lines>82</Lines>
  <Paragraphs>23</Paragraphs>
  <TotalTime>176</TotalTime>
  <ScaleCrop>false</ScaleCrop>
  <LinksUpToDate>false</LinksUpToDate>
  <CharactersWithSpaces>11564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2021-01-22T12:09:00Z</dcterms:created>
  <dc:creator>Пользователь</dc:creator>
  <cp:lastModifiedBy>Пользователь</cp:lastModifiedBy>
  <cp:lastPrinted>2021-03-22T05:27:00Z</cp:lastPrinted>
  <dcterms:modified xsi:type="dcterms:W3CDTF">2025-01-27T08:28:48Z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7305D8A798BD46D79941BB9931B07354_13</vt:lpwstr>
  </property>
</Properties>
</file>